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058C2" w14:textId="78851F1E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  <w:r w:rsidRPr="00DE3803">
        <w:rPr>
          <w:b/>
          <w:bCs/>
        </w:rPr>
        <w:t>Draft WSC Terms of Reference – with tracked changes</w:t>
      </w:r>
      <w:r>
        <w:rPr>
          <w:b/>
          <w:bCs/>
        </w:rPr>
        <w:t xml:space="preserve"> </w:t>
      </w:r>
      <w:r>
        <w:rPr>
          <w:b/>
          <w:bCs/>
        </w:rPr>
        <w:br/>
        <w:t>(additions requested by IEC Council Board are in RED)</w:t>
      </w:r>
    </w:p>
    <w:p w14:paraId="5B69D507" w14:textId="77777777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</w:p>
    <w:p w14:paraId="061E637C" w14:textId="77777777" w:rsidR="001D2E2C" w:rsidRDefault="001D2E2C" w:rsidP="001D2E2C">
      <w:pPr>
        <w:tabs>
          <w:tab w:val="left" w:pos="1843"/>
        </w:tabs>
        <w:ind w:left="57"/>
        <w:jc w:val="center"/>
        <w:rPr>
          <w:b/>
          <w:bCs/>
        </w:rPr>
      </w:pPr>
    </w:p>
    <w:p w14:paraId="56DB3BC6" w14:textId="77777777" w:rsidR="001D2E2C" w:rsidRDefault="001D2E2C" w:rsidP="001D2E2C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1276"/>
        <w:gridCol w:w="5919"/>
      </w:tblGrid>
      <w:tr w:rsidR="001D2E2C" w:rsidRPr="00F216F4" w14:paraId="58171ABC" w14:textId="77777777" w:rsidTr="00520CEA">
        <w:trPr>
          <w:trHeight w:val="1134"/>
        </w:trPr>
        <w:tc>
          <w:tcPr>
            <w:tcW w:w="1242" w:type="dxa"/>
          </w:tcPr>
          <w:p w14:paraId="33910FD2" w14:textId="77777777" w:rsidR="001D2E2C" w:rsidRDefault="001D2E2C" w:rsidP="00520CEA">
            <w:r>
              <w:rPr>
                <w:rFonts w:eastAsia="SimSun"/>
                <w:noProof/>
                <w:lang w:val="en-US"/>
              </w:rPr>
              <w:drawing>
                <wp:inline distT="0" distB="0" distL="0" distR="0" wp14:anchorId="114B01E0" wp14:editId="0593B988">
                  <wp:extent cx="690245" cy="690245"/>
                  <wp:effectExtent l="0" t="0" r="0" b="0"/>
                  <wp:docPr id="7" name="Picture 7" descr="IE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E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5F18AC8D" w14:textId="77777777" w:rsidR="001D2E2C" w:rsidRDefault="001D2E2C" w:rsidP="00520CEA">
            <w:pPr>
              <w:ind w:left="-108" w:right="-108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0F415101" wp14:editId="57CD487C">
                  <wp:extent cx="748030" cy="685800"/>
                  <wp:effectExtent l="0" t="0" r="0" b="0"/>
                  <wp:docPr id="6" name="Picture 6" descr="Final_ISO_Red 2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Final_ISO_Red 20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14:paraId="50A07F14" w14:textId="77777777" w:rsidR="001D2E2C" w:rsidRDefault="001D2E2C" w:rsidP="00520CEA">
            <w:pPr>
              <w:ind w:left="-108"/>
            </w:pPr>
            <w:r>
              <w:rPr>
                <w:rFonts w:eastAsia="SimSun"/>
                <w:noProof/>
                <w:lang w:val="en-US"/>
              </w:rPr>
              <w:drawing>
                <wp:inline distT="0" distB="0" distL="0" distR="0" wp14:anchorId="7962B4EE" wp14:editId="5AC40047">
                  <wp:extent cx="647065" cy="690245"/>
                  <wp:effectExtent l="0" t="0" r="635" b="0"/>
                  <wp:docPr id="3" name="Picture 3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383804A6" w14:textId="77777777" w:rsidR="001D2E2C" w:rsidRPr="001465CC" w:rsidRDefault="001D2E2C" w:rsidP="00520CEA">
            <w:pPr>
              <w:ind w:left="-108"/>
              <w:jc w:val="right"/>
            </w:pPr>
          </w:p>
        </w:tc>
      </w:tr>
    </w:tbl>
    <w:p w14:paraId="0969949D" w14:textId="77777777" w:rsidR="001D2E2C" w:rsidRDefault="001D2E2C" w:rsidP="001D2E2C"/>
    <w:p w14:paraId="3276F73E" w14:textId="77777777" w:rsidR="001D2E2C" w:rsidRPr="002B437F" w:rsidRDefault="001D2E2C" w:rsidP="001D2E2C">
      <w:pPr>
        <w:rPr>
          <w:b/>
          <w:sz w:val="26"/>
          <w:szCs w:val="26"/>
        </w:rPr>
      </w:pPr>
      <w:r>
        <w:rPr>
          <w:b/>
          <w:sz w:val="26"/>
          <w:szCs w:val="26"/>
        </w:rPr>
        <w:t>GOALS AND TERMS OF REFERENCE FOR THE IEC/ISO/ITU WORLD STANDARDS COOPERATION (WSC)</w:t>
      </w:r>
    </w:p>
    <w:p w14:paraId="18F7E5CF" w14:textId="77777777" w:rsidR="001D2E2C" w:rsidRPr="0017036E" w:rsidRDefault="001D2E2C" w:rsidP="001D2E2C"/>
    <w:p w14:paraId="7937F955" w14:textId="77777777" w:rsidR="001D2E2C" w:rsidRDefault="001D2E2C" w:rsidP="001D2E2C">
      <w:pPr>
        <w:pBdr>
          <w:top w:val="single" w:sz="6" w:space="1" w:color="auto"/>
        </w:pBdr>
        <w:spacing w:after="120"/>
        <w:jc w:val="both"/>
      </w:pPr>
    </w:p>
    <w:p w14:paraId="7365287D" w14:textId="77777777" w:rsidR="001D2E2C" w:rsidRPr="00485F89" w:rsidRDefault="001D2E2C" w:rsidP="001D2E2C">
      <w:pPr>
        <w:pBdr>
          <w:top w:val="single" w:sz="6" w:space="1" w:color="auto"/>
        </w:pBdr>
        <w:spacing w:after="120"/>
        <w:jc w:val="both"/>
      </w:pPr>
    </w:p>
    <w:p w14:paraId="0ACF31EF" w14:textId="77777777" w:rsidR="001D2E2C" w:rsidRPr="00B60C65" w:rsidRDefault="001D2E2C" w:rsidP="001D2E2C">
      <w:pPr>
        <w:pStyle w:val="Heading2"/>
        <w:keepLines/>
        <w:tabs>
          <w:tab w:val="num" w:pos="426"/>
          <w:tab w:val="left" w:pos="3960"/>
        </w:tabs>
        <w:spacing w:before="0" w:after="120"/>
        <w:jc w:val="both"/>
        <w:rPr>
          <w:sz w:val="26"/>
          <w:szCs w:val="26"/>
        </w:rPr>
      </w:pPr>
      <w:r w:rsidRPr="00B60C65">
        <w:rPr>
          <w:sz w:val="26"/>
          <w:szCs w:val="26"/>
        </w:rPr>
        <w:t>Goals</w:t>
      </w:r>
      <w:r>
        <w:rPr>
          <w:sz w:val="26"/>
          <w:szCs w:val="26"/>
        </w:rPr>
        <w:tab/>
      </w:r>
    </w:p>
    <w:p w14:paraId="49BB4E4D" w14:textId="77777777" w:rsidR="001D2E2C" w:rsidRPr="00B60C65" w:rsidRDefault="001D2E2C" w:rsidP="001D2E2C">
      <w:pPr>
        <w:jc w:val="both"/>
      </w:pPr>
      <w:r w:rsidRPr="00B60C65">
        <w:t>The primary functions of the WSC are:</w:t>
      </w:r>
    </w:p>
    <w:p w14:paraId="31B7CDD2" w14:textId="77777777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strengthen and advance the voluntary consensus-based internation</w:t>
      </w:r>
      <w:r>
        <w:t>al standards system of IEC, ISO</w:t>
      </w:r>
      <w:r w:rsidRPr="00B60C65">
        <w:t xml:space="preserve"> and ITU through specific policies and cooperation, and by the sharing of information on </w:t>
      </w:r>
      <w:proofErr w:type="gramStart"/>
      <w:r w:rsidRPr="00B60C65">
        <w:t>experiences;</w:t>
      </w:r>
      <w:proofErr w:type="gramEnd"/>
    </w:p>
    <w:p w14:paraId="735FAFB4" w14:textId="77777777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promote and increase the</w:t>
      </w:r>
      <w:r w:rsidRPr="00114246">
        <w:t xml:space="preserve"> worldwide </w:t>
      </w:r>
      <w:r w:rsidRPr="00B60C65">
        <w:t xml:space="preserve">visibility of international consensus-based standardization </w:t>
      </w:r>
      <w:r>
        <w:t xml:space="preserve">and related conformity assessment </w:t>
      </w:r>
      <w:proofErr w:type="gramStart"/>
      <w:r>
        <w:t>matters</w:t>
      </w:r>
      <w:r w:rsidRPr="00B60C65">
        <w:t>;</w:t>
      </w:r>
      <w:proofErr w:type="gramEnd"/>
    </w:p>
    <w:p w14:paraId="38E471FF" w14:textId="5BBD0A94" w:rsidR="001D2E2C" w:rsidRPr="00B60C65" w:rsidRDefault="001D2E2C" w:rsidP="001D2E2C">
      <w:pPr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 xml:space="preserve">to </w:t>
      </w:r>
      <w:r w:rsidRPr="004B4FA5">
        <w:rPr>
          <w:color w:val="4F81BD" w:themeColor="accent1"/>
        </w:rPr>
        <w:t>foste</w:t>
      </w:r>
      <w:r>
        <w:rPr>
          <w:color w:val="4F81BD" w:themeColor="accent1"/>
        </w:rPr>
        <w:t xml:space="preserve">r coordination and collaboration between the three organizations, </w:t>
      </w:r>
      <w:r>
        <w:rPr>
          <w:color w:val="FF0000"/>
        </w:rPr>
        <w:t>avoid</w:t>
      </w:r>
      <w:r w:rsidRPr="001D2E2C">
        <w:rPr>
          <w:color w:val="FF0000"/>
        </w:rPr>
        <w:t xml:space="preserve"> duplication of work </w:t>
      </w:r>
      <w:r>
        <w:rPr>
          <w:color w:val="4F81BD" w:themeColor="accent1"/>
        </w:rPr>
        <w:t>and</w:t>
      </w:r>
      <w:r w:rsidRPr="004B4FA5">
        <w:t xml:space="preserve"> </w:t>
      </w:r>
      <w:r w:rsidRPr="00B60C65">
        <w:t>resolve expeditiously any issue regarding cooperation in the technical work of the three organizations, if the matter has failed to be resolved in a timely manner at all lower levels of coordination.</w:t>
      </w:r>
    </w:p>
    <w:p w14:paraId="2EF602CD" w14:textId="77777777" w:rsidR="001D2E2C" w:rsidRDefault="001D2E2C" w:rsidP="001D2E2C">
      <w:pPr>
        <w:pStyle w:val="Index1"/>
        <w:tabs>
          <w:tab w:val="left" w:pos="426"/>
          <w:tab w:val="left" w:pos="851"/>
          <w:tab w:val="left" w:pos="1276"/>
          <w:tab w:val="left" w:pos="4253"/>
        </w:tabs>
        <w:spacing w:line="240" w:lineRule="auto"/>
        <w:jc w:val="both"/>
        <w:rPr>
          <w:rFonts w:cs="Arial"/>
          <w:szCs w:val="22"/>
        </w:rPr>
      </w:pPr>
    </w:p>
    <w:p w14:paraId="2ED65109" w14:textId="77777777" w:rsidR="001D2E2C" w:rsidRPr="0026235E" w:rsidRDefault="001D2E2C" w:rsidP="001D2E2C">
      <w:pPr>
        <w:rPr>
          <w:lang w:eastAsia="en-US"/>
        </w:rPr>
      </w:pPr>
    </w:p>
    <w:p w14:paraId="6EEF8296" w14:textId="77777777" w:rsidR="001D2E2C" w:rsidRPr="00B60C65" w:rsidRDefault="001D2E2C" w:rsidP="001D2E2C">
      <w:pPr>
        <w:pStyle w:val="Heading2"/>
        <w:keepLines/>
        <w:tabs>
          <w:tab w:val="num" w:pos="426"/>
        </w:tabs>
        <w:spacing w:before="0" w:after="120"/>
        <w:jc w:val="both"/>
        <w:rPr>
          <w:sz w:val="26"/>
          <w:szCs w:val="26"/>
        </w:rPr>
      </w:pPr>
      <w:r w:rsidRPr="00B60C65">
        <w:rPr>
          <w:sz w:val="26"/>
          <w:szCs w:val="26"/>
        </w:rPr>
        <w:t>Terms of reference</w:t>
      </w:r>
    </w:p>
    <w:p w14:paraId="757196CC" w14:textId="77777777" w:rsidR="001D2E2C" w:rsidRPr="00B60C65" w:rsidRDefault="001D2E2C" w:rsidP="001D2E2C">
      <w:pPr>
        <w:jc w:val="both"/>
      </w:pPr>
      <w:r w:rsidRPr="00B60C65">
        <w:t>The WSC shall seek:</w:t>
      </w:r>
    </w:p>
    <w:p w14:paraId="21B2F5F0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develop policy and strategy on the promotion of international consensus-based standards</w:t>
      </w:r>
      <w:r>
        <w:t>,</w:t>
      </w:r>
      <w:r w:rsidRPr="00B60C65">
        <w:t xml:space="preserve"> </w:t>
      </w:r>
      <w:r>
        <w:t xml:space="preserve">including the guides and standards on which global conformity assessment may be based, </w:t>
      </w:r>
      <w:r w:rsidRPr="00B60C65">
        <w:t>to industry, the business community, governments, the World Trade Organization (WTO)</w:t>
      </w:r>
      <w:r>
        <w:t>,</w:t>
      </w:r>
      <w:r w:rsidRPr="00B60C65">
        <w:t xml:space="preserve"> other international organizations</w:t>
      </w:r>
      <w:r w:rsidRPr="00114246">
        <w:t xml:space="preserve"> and </w:t>
      </w:r>
      <w:r w:rsidRPr="00B60C65">
        <w:t>users, including consumers;</w:t>
      </w:r>
    </w:p>
    <w:p w14:paraId="6991CC54" w14:textId="77777777" w:rsidR="001D2E2C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 xml:space="preserve">to develop a promotion and orientation programme aimed at educational institutions, in particular engineering schools and management </w:t>
      </w:r>
      <w:proofErr w:type="gramStart"/>
      <w:r w:rsidRPr="00B60C65">
        <w:t>schools;</w:t>
      </w:r>
      <w:proofErr w:type="gramEnd"/>
    </w:p>
    <w:p w14:paraId="1958B20C" w14:textId="6E1D3FD1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>
        <w:rPr>
          <w:color w:val="4F81BD" w:themeColor="accent1"/>
        </w:rPr>
        <w:t xml:space="preserve">to foster coordination and collaboration between the three organizations </w:t>
      </w:r>
      <w:r w:rsidRPr="001D2E2C">
        <w:rPr>
          <w:color w:val="FF0000"/>
        </w:rPr>
        <w:t xml:space="preserve">to avoid duplication of </w:t>
      </w:r>
      <w:proofErr w:type="gramStart"/>
      <w:r w:rsidRPr="001D2E2C">
        <w:rPr>
          <w:color w:val="FF0000"/>
        </w:rPr>
        <w:t>work</w:t>
      </w:r>
      <w:r>
        <w:rPr>
          <w:color w:val="4F81BD" w:themeColor="accent1"/>
        </w:rPr>
        <w:t>;</w:t>
      </w:r>
      <w:proofErr w:type="gramEnd"/>
    </w:p>
    <w:p w14:paraId="7AB32FAD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guide the Joint Technical Advisory Board (JTAB), when needed, on technical issues of work delineation – the ITU-T</w:t>
      </w:r>
      <w:r>
        <w:rPr>
          <w:rStyle w:val="FootnoteReference"/>
        </w:rPr>
        <w:footnoteReference w:id="1"/>
      </w:r>
      <w:r w:rsidRPr="00B60C65">
        <w:t xml:space="preserve"> will be invited to attend JTAB </w:t>
      </w:r>
      <w:proofErr w:type="gramStart"/>
      <w:r w:rsidRPr="00B60C65">
        <w:t>meetings;</w:t>
      </w:r>
      <w:proofErr w:type="gramEnd"/>
    </w:p>
    <w:p w14:paraId="4738FE54" w14:textId="44DB5DD4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address issues of common interest</w:t>
      </w:r>
      <w:r w:rsidRPr="005E54F8">
        <w:rPr>
          <w:strike/>
          <w:color w:val="4F81BD" w:themeColor="accent1"/>
        </w:rPr>
        <w:t>;</w:t>
      </w:r>
      <w:r>
        <w:rPr>
          <w:color w:val="4F81BD" w:themeColor="accent1"/>
        </w:rPr>
        <w:t xml:space="preserve">, including the development of roadmaps of standardization initiatives common to all three organizations, and the provision of support in the deployment and application of standards </w:t>
      </w:r>
      <w:r w:rsidRPr="001D2E2C">
        <w:rPr>
          <w:color w:val="FF0000"/>
        </w:rPr>
        <w:t>and related conformity assessment activities</w:t>
      </w:r>
      <w:r>
        <w:rPr>
          <w:color w:val="4F81BD" w:themeColor="accent1"/>
        </w:rPr>
        <w:t xml:space="preserve"> on a given topic common to all three organizations</w:t>
      </w:r>
    </w:p>
    <w:p w14:paraId="7081A75E" w14:textId="77777777" w:rsidR="001D2E2C" w:rsidRPr="00B60C65" w:rsidRDefault="001D2E2C" w:rsidP="001D2E2C">
      <w:pPr>
        <w:numPr>
          <w:ilvl w:val="0"/>
          <w:numId w:val="2"/>
        </w:numPr>
        <w:tabs>
          <w:tab w:val="left" w:pos="426"/>
          <w:tab w:val="left" w:pos="851"/>
          <w:tab w:val="left" w:pos="1276"/>
          <w:tab w:val="left" w:pos="4253"/>
        </w:tabs>
        <w:spacing w:before="120"/>
        <w:jc w:val="both"/>
      </w:pPr>
      <w:r w:rsidRPr="00B60C65">
        <w:t>to set up, when needed, ad hoc task forces with participation as required.</w:t>
      </w:r>
    </w:p>
    <w:p w14:paraId="38FEAC99" w14:textId="77777777" w:rsidR="001D2E2C" w:rsidRPr="00B60C65" w:rsidRDefault="001D2E2C" w:rsidP="001D2E2C">
      <w:pPr>
        <w:jc w:val="both"/>
      </w:pPr>
    </w:p>
    <w:p w14:paraId="1D302F58" w14:textId="77777777" w:rsidR="001D2E2C" w:rsidRDefault="001D2E2C" w:rsidP="001D2E2C">
      <w:pPr>
        <w:jc w:val="both"/>
      </w:pPr>
      <w:r w:rsidRPr="00B60C65">
        <w:t>The chair</w:t>
      </w:r>
      <w:r w:rsidRPr="001D2E2C">
        <w:rPr>
          <w:strike/>
          <w:color w:val="FF0000"/>
        </w:rPr>
        <w:t>manship</w:t>
      </w:r>
      <w:r w:rsidRPr="00B60C65">
        <w:t xml:space="preserve"> and the secretariat will be from the same WSC member </w:t>
      </w:r>
      <w:proofErr w:type="gramStart"/>
      <w:r w:rsidRPr="00B60C65">
        <w:t>organization, and</w:t>
      </w:r>
      <w:proofErr w:type="gramEnd"/>
      <w:r w:rsidRPr="00B60C65">
        <w:t xml:space="preserve"> will rotate annually. </w:t>
      </w:r>
    </w:p>
    <w:p w14:paraId="5C94FA90" w14:textId="77777777" w:rsidR="001D2E2C" w:rsidRDefault="001D2E2C" w:rsidP="001D2E2C">
      <w:pPr>
        <w:jc w:val="both"/>
      </w:pPr>
    </w:p>
    <w:p w14:paraId="5A5D5DF9" w14:textId="77777777" w:rsidR="001D2E2C" w:rsidRDefault="001D2E2C" w:rsidP="001D2E2C">
      <w:pPr>
        <w:jc w:val="both"/>
        <w:rPr>
          <w:color w:val="4F81BD" w:themeColor="accent1"/>
        </w:rPr>
      </w:pPr>
      <w:r>
        <w:rPr>
          <w:color w:val="4F81BD" w:themeColor="accent1"/>
        </w:rPr>
        <w:t>WSC member organizations shall have a comparable degree of high-level representation at annual WSC meetings.</w:t>
      </w:r>
    </w:p>
    <w:p w14:paraId="4AEAF65E" w14:textId="77777777" w:rsidR="001D2E2C" w:rsidRPr="001E56C3" w:rsidRDefault="001D2E2C" w:rsidP="001D2E2C">
      <w:pPr>
        <w:jc w:val="both"/>
        <w:rPr>
          <w:color w:val="4F81BD" w:themeColor="accent1"/>
        </w:rPr>
      </w:pPr>
    </w:p>
    <w:p w14:paraId="32FA56FB" w14:textId="77777777" w:rsidR="001D2E2C" w:rsidRPr="00B60C65" w:rsidRDefault="001D2E2C" w:rsidP="001D2E2C">
      <w:pPr>
        <w:spacing w:after="120"/>
        <w:jc w:val="both"/>
      </w:pPr>
      <w:r w:rsidRPr="00B60C65">
        <w:t>The WSC members will report to their respective bodies on agreements reached. Approval of executive actions on such agreements and recommendations remains at the discretion of each organization.</w:t>
      </w:r>
    </w:p>
    <w:p w14:paraId="48E7A510" w14:textId="77777777" w:rsidR="001D2E2C" w:rsidRPr="00B60C65" w:rsidRDefault="001D2E2C" w:rsidP="001D2E2C">
      <w:pPr>
        <w:jc w:val="center"/>
      </w:pPr>
      <w:r w:rsidRPr="00B60C65">
        <w:t>*</w:t>
      </w:r>
      <w:r>
        <w:t xml:space="preserve"> </w:t>
      </w:r>
      <w:r w:rsidRPr="00B60C65">
        <w:t>*</w:t>
      </w:r>
      <w:r>
        <w:t xml:space="preserve"> </w:t>
      </w:r>
      <w:r w:rsidRPr="00B60C65">
        <w:t>*</w:t>
      </w:r>
      <w:r>
        <w:t xml:space="preserve"> </w:t>
      </w:r>
      <w:r w:rsidRPr="00B60C65">
        <w:t>*</w:t>
      </w:r>
      <w:r>
        <w:t xml:space="preserve"> *</w:t>
      </w:r>
    </w:p>
    <w:p w14:paraId="79B43465" w14:textId="2EAB6A8E" w:rsidR="001D2E2C" w:rsidRDefault="001D2E2C" w:rsidP="001D2E2C">
      <w:pPr>
        <w:rPr>
          <w:b/>
          <w:bCs/>
        </w:rPr>
      </w:pPr>
    </w:p>
    <w:p w14:paraId="20397EB7" w14:textId="77777777" w:rsidR="00CA47CA" w:rsidRDefault="00CA47CA"/>
    <w:sectPr w:rsidR="00CA47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CC220" w14:textId="77777777" w:rsidR="001D2E2C" w:rsidRDefault="001D2E2C" w:rsidP="001D2E2C">
      <w:r>
        <w:separator/>
      </w:r>
    </w:p>
  </w:endnote>
  <w:endnote w:type="continuationSeparator" w:id="0">
    <w:p w14:paraId="6523ED38" w14:textId="77777777" w:rsidR="001D2E2C" w:rsidRDefault="001D2E2C" w:rsidP="001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5C288" w14:textId="77777777" w:rsidR="001D2E2C" w:rsidRDefault="001D2E2C" w:rsidP="001D2E2C">
      <w:r>
        <w:separator/>
      </w:r>
    </w:p>
  </w:footnote>
  <w:footnote w:type="continuationSeparator" w:id="0">
    <w:p w14:paraId="0EC720C4" w14:textId="77777777" w:rsidR="001D2E2C" w:rsidRDefault="001D2E2C" w:rsidP="001D2E2C">
      <w:r>
        <w:continuationSeparator/>
      </w:r>
    </w:p>
  </w:footnote>
  <w:footnote w:id="1">
    <w:p w14:paraId="2C4B7A56" w14:textId="77777777" w:rsidR="001D2E2C" w:rsidRPr="00114246" w:rsidRDefault="001D2E2C" w:rsidP="001D2E2C">
      <w:pPr>
        <w:pStyle w:val="FootnoteText"/>
        <w:rPr>
          <w:sz w:val="18"/>
          <w:szCs w:val="18"/>
          <w:lang w:val="en-US"/>
        </w:rPr>
      </w:pPr>
      <w:r w:rsidRPr="00114246">
        <w:rPr>
          <w:rStyle w:val="FootnoteReference"/>
          <w:szCs w:val="18"/>
        </w:rPr>
        <w:footnoteRef/>
      </w:r>
      <w:r w:rsidRPr="00114246">
        <w:rPr>
          <w:sz w:val="18"/>
          <w:szCs w:val="18"/>
        </w:rPr>
        <w:t xml:space="preserve"> </w:t>
      </w:r>
      <w:r w:rsidRPr="00114246">
        <w:rPr>
          <w:sz w:val="18"/>
          <w:szCs w:val="18"/>
          <w:lang w:val="en-US"/>
        </w:rPr>
        <w:t>ITU Telecommunication Standardization Sector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26184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75E22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D2E2C"/>
    <w:rsid w:val="001D2E2C"/>
    <w:rsid w:val="00275B30"/>
    <w:rsid w:val="00CA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B8B3"/>
  <w15:chartTrackingRefBased/>
  <w15:docId w15:val="{33C8E4CB-3C44-4701-A63D-EC1EF275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E2C"/>
    <w:pPr>
      <w:spacing w:after="0" w:line="240" w:lineRule="auto"/>
    </w:pPr>
    <w:rPr>
      <w:rFonts w:eastAsia="Times New Roman" w:cs="Arial"/>
      <w:sz w:val="22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1D2E2C"/>
    <w:pPr>
      <w:keepNext/>
      <w:spacing w:before="240" w:after="6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D2E2C"/>
    <w:rPr>
      <w:rFonts w:eastAsia="Times New Roman" w:cs="Arial"/>
      <w:b/>
      <w:bCs/>
      <w:sz w:val="22"/>
      <w:lang w:eastAsia="zh-CN"/>
    </w:rPr>
  </w:style>
  <w:style w:type="paragraph" w:styleId="FootnoteText">
    <w:name w:val="footnote text"/>
    <w:basedOn w:val="Normal"/>
    <w:link w:val="FootnoteTextChar"/>
    <w:semiHidden/>
    <w:rsid w:val="001D2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D2E2C"/>
    <w:rPr>
      <w:rFonts w:eastAsia="Times New Roman" w:cs="Arial"/>
      <w:szCs w:val="20"/>
      <w:lang w:eastAsia="zh-CN"/>
    </w:rPr>
  </w:style>
  <w:style w:type="character" w:styleId="FootnoteReference">
    <w:name w:val="footnote reference"/>
    <w:semiHidden/>
    <w:rsid w:val="001D2E2C"/>
    <w:rPr>
      <w:vertAlign w:val="superscript"/>
    </w:rPr>
  </w:style>
  <w:style w:type="table" w:styleId="TableGrid">
    <w:name w:val="Table Grid"/>
    <w:basedOn w:val="TableNormal"/>
    <w:rsid w:val="001D2E2C"/>
    <w:pPr>
      <w:spacing w:after="0" w:line="240" w:lineRule="auto"/>
    </w:pPr>
    <w:rPr>
      <w:rFonts w:ascii="Times New Roman" w:eastAsia="SimSun" w:hAnsi="Times New Roman" w:cs="Times New Roman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1D2E2C"/>
    <w:pPr>
      <w:spacing w:line="240" w:lineRule="atLeast"/>
    </w:pPr>
    <w:rPr>
      <w:rFonts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44D08C24C518449FEB054B3A670EFC" ma:contentTypeVersion="12" ma:contentTypeDescription="Create a new document." ma:contentTypeScope="" ma:versionID="5077f3eb4f8747875e247121858c0b2f">
  <xsd:schema xmlns:xsd="http://www.w3.org/2001/XMLSchema" xmlns:xs="http://www.w3.org/2001/XMLSchema" xmlns:p="http://schemas.microsoft.com/office/2006/metadata/properties" xmlns:ns2="584bf480-ae3e-4498-bba9-cfcd56555824" xmlns:ns3="46f6b217-629a-4970-9478-c4cd2580dcb1" targetNamespace="http://schemas.microsoft.com/office/2006/metadata/properties" ma:root="true" ma:fieldsID="ae73c79b68b96c46c68d3f71cae9ced8" ns2:_="" ns3:_="">
    <xsd:import namespace="584bf480-ae3e-4498-bba9-cfcd56555824"/>
    <xsd:import namespace="46f6b217-629a-4970-9478-c4cd2580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bf480-ae3e-4498-bba9-cfcd56555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b217-629a-4970-9478-c4cd2580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9593E-954F-4B14-ABF1-1ECE4C370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DB9E7C-96D2-48BC-9250-2AA180A22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22A27-837B-43BC-8B5C-86F5D65F6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bf480-ae3e-4498-bba9-cfcd56555824"/>
    <ds:schemaRef ds:uri="46f6b217-629a-4970-9478-c4cd2580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2120</Characters>
  <Application>Microsoft Office Word</Application>
  <DocSecurity>4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Fraga Pearson, Katharine</dc:creator>
  <cp:keywords/>
  <dc:description/>
  <cp:lastModifiedBy>Jamoussi, Bilel</cp:lastModifiedBy>
  <cp:revision>2</cp:revision>
  <dcterms:created xsi:type="dcterms:W3CDTF">2020-09-24T06:44:00Z</dcterms:created>
  <dcterms:modified xsi:type="dcterms:W3CDTF">2020-09-24T06:44:00Z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0x010100E444D08C24C518449FEB054B3A670EFC</vt:lpwstr>
  </property>
</Properties>
</file>